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582D5" w14:textId="77777777" w:rsidR="006F0391" w:rsidRDefault="00844A7F">
      <w:pPr>
        <w:pStyle w:val="Heading1"/>
        <w:pBdr>
          <w:bottom w:val="single" w:sz="12" w:space="4" w:color="0B2A4A"/>
        </w:pBdr>
        <w:spacing w:before="240" w:after="120"/>
      </w:pPr>
      <w:r>
        <w:rPr>
          <w:b/>
          <w:bCs/>
          <w:color w:val="0B2A4A"/>
          <w:sz w:val="36"/>
          <w:szCs w:val="36"/>
        </w:rPr>
        <w:t>Cowlitz River FERC Proceeding</w:t>
      </w:r>
    </w:p>
    <w:p w14:paraId="6758E7B0" w14:textId="77777777" w:rsidR="006F0391" w:rsidRDefault="00844A7F">
      <w:pPr>
        <w:spacing w:after="160"/>
      </w:pPr>
      <w:r>
        <w:rPr>
          <w:i/>
          <w:iCs/>
          <w:color w:val="555555"/>
          <w:sz w:val="19"/>
          <w:szCs w:val="19"/>
        </w:rPr>
        <w:t>Docket No. P-</w:t>
      </w:r>
      <w:proofErr w:type="gramStart"/>
      <w:r>
        <w:rPr>
          <w:i/>
          <w:iCs/>
          <w:color w:val="555555"/>
          <w:sz w:val="19"/>
          <w:szCs w:val="19"/>
        </w:rPr>
        <w:t>2016  |</w:t>
      </w:r>
      <w:proofErr w:type="gramEnd"/>
      <w:r>
        <w:rPr>
          <w:i/>
          <w:iCs/>
          <w:color w:val="555555"/>
          <w:sz w:val="19"/>
          <w:szCs w:val="19"/>
        </w:rPr>
        <w:t xml:space="preserve">  Tacoma Power Cowlitz River Hydroelectric </w:t>
      </w:r>
      <w:proofErr w:type="gramStart"/>
      <w:r>
        <w:rPr>
          <w:i/>
          <w:iCs/>
          <w:color w:val="555555"/>
          <w:sz w:val="19"/>
          <w:szCs w:val="19"/>
        </w:rPr>
        <w:t>Project  |</w:t>
      </w:r>
      <w:proofErr w:type="gramEnd"/>
      <w:r>
        <w:rPr>
          <w:i/>
          <w:iCs/>
          <w:color w:val="555555"/>
          <w:sz w:val="19"/>
          <w:szCs w:val="19"/>
        </w:rPr>
        <w:t xml:space="preserve">  Northwest Fisheries Enhancement Group (NWFEG)</w:t>
      </w:r>
    </w:p>
    <w:p w14:paraId="58BD419F" w14:textId="77777777" w:rsidR="006F0391" w:rsidRDefault="00844A7F">
      <w:pPr>
        <w:pBdr>
          <w:left w:val="single" w:sz="24" w:space="8" w:color="0D7A5F"/>
        </w:pBdr>
        <w:shd w:val="clear" w:color="auto" w:fill="E8EEF4"/>
        <w:spacing w:before="80" w:after="120"/>
        <w:ind w:left="200"/>
      </w:pPr>
      <w:r>
        <w:rPr>
          <w:color w:val="222222"/>
        </w:rPr>
        <w:t xml:space="preserve">The Northwest Fisheries Enhancement Group has filed a series of formal complaints with the Federal Energy Regulatory Commission (FERC) documenting non-compliance with the terms of Tacoma Power's hydroelectric license on the Cowlitz River. The filings below constitute the official public record of that proceeding. All documents are available through FERC's </w:t>
      </w:r>
      <w:proofErr w:type="spellStart"/>
      <w:r>
        <w:rPr>
          <w:color w:val="222222"/>
        </w:rPr>
        <w:t>eLibrary</w:t>
      </w:r>
      <w:proofErr w:type="spellEnd"/>
      <w:r>
        <w:rPr>
          <w:color w:val="222222"/>
        </w:rPr>
        <w:t xml:space="preserve"> under Docket P-2016.</w:t>
      </w:r>
    </w:p>
    <w:p w14:paraId="6F8B662C" w14:textId="77777777" w:rsidR="006F0391" w:rsidRDefault="00844A7F">
      <w:pPr>
        <w:spacing w:before="80" w:after="120"/>
      </w:pPr>
      <w:r>
        <w:rPr>
          <w:color w:val="222222"/>
        </w:rPr>
        <w:t xml:space="preserve">Tacoma Power holds a federal license to operate dams on the Cowlitz River. That license carries binding fisheries obligations — legal commitments to produce adult salmon and steelhead returns sufficient to support harvest and recovery. </w:t>
      </w:r>
      <w:proofErr w:type="gramStart"/>
      <w:r>
        <w:rPr>
          <w:color w:val="222222"/>
        </w:rPr>
        <w:t>This proceeding documents</w:t>
      </w:r>
      <w:proofErr w:type="gramEnd"/>
      <w:r>
        <w:rPr>
          <w:color w:val="222222"/>
        </w:rPr>
        <w:t xml:space="preserve"> where those obligations have not been met, and what remedies are required.</w:t>
      </w:r>
    </w:p>
    <w:p w14:paraId="51DB9806" w14:textId="77777777" w:rsidR="006F0391" w:rsidRDefault="006F0391">
      <w:pPr>
        <w:pBdr>
          <w:bottom w:val="single" w:sz="4" w:space="1" w:color="CCCCCC"/>
        </w:pBdr>
        <w:spacing w:before="160" w:after="160"/>
      </w:pPr>
    </w:p>
    <w:p w14:paraId="706409B3" w14:textId="77777777" w:rsidR="006F0391" w:rsidRDefault="00844A7F">
      <w:pPr>
        <w:pStyle w:val="Heading2"/>
        <w:spacing w:before="280" w:after="80"/>
      </w:pPr>
      <w:r>
        <w:rPr>
          <w:b/>
          <w:bCs/>
          <w:color w:val="0D7A5F"/>
        </w:rPr>
        <w:t>Background</w:t>
      </w:r>
    </w:p>
    <w:p w14:paraId="48D50AF8" w14:textId="77777777" w:rsidR="006F0391" w:rsidRDefault="00844A7F">
      <w:pPr>
        <w:spacing w:before="60" w:after="80"/>
      </w:pPr>
      <w:r>
        <w:rPr>
          <w:color w:val="222222"/>
        </w:rPr>
        <w:t>The Cowlitz River Project (FERC License No. P-2016) includes Mossyrock Dam, Mayfield Dam, and Barrier Dam, operated by Tacoma Power (City of Tacoma Public Utilities). As a condition of its federal hydroelectric license, Tacoma Power is required to fund and operate a comprehensive fisheries mitigation program — including hatchery production, fish passage, habitat protection, monitoring, and management — to offset the impacts of the dams on Cowlitz River salmon and steelhead populations.</w:t>
      </w:r>
    </w:p>
    <w:p w14:paraId="30129826" w14:textId="77777777" w:rsidR="006F0391" w:rsidRDefault="00844A7F">
      <w:pPr>
        <w:spacing w:before="60" w:after="80"/>
      </w:pPr>
      <w:r>
        <w:rPr>
          <w:color w:val="222222"/>
        </w:rPr>
        <w:t xml:space="preserve">The Fisheries and Hatchery Management Plan (FHMP), incorporated into the license through the 2004 Settlement Agreement, establishes specific performance standards and adaptive management obligations. NWFEG's position is that Tacoma Power </w:t>
      </w:r>
      <w:proofErr w:type="gramStart"/>
      <w:r>
        <w:rPr>
          <w:color w:val="222222"/>
        </w:rPr>
        <w:t>has systematically failed</w:t>
      </w:r>
      <w:proofErr w:type="gramEnd"/>
      <w:r>
        <w:rPr>
          <w:color w:val="222222"/>
        </w:rPr>
        <w:t xml:space="preserve"> to meet those standards, has not engaged in genuine adaptive management when programs have failed, and has withheld or obscured data that would allow co-managers, FERC, and the public to independently evaluate program performance.</w:t>
      </w:r>
    </w:p>
    <w:p w14:paraId="5463AB4B" w14:textId="77777777" w:rsidR="006F0391" w:rsidRDefault="00844A7F">
      <w:pPr>
        <w:spacing w:before="60" w:after="80"/>
      </w:pPr>
      <w:r>
        <w:rPr>
          <w:color w:val="222222"/>
        </w:rPr>
        <w:t xml:space="preserve">On June 11, 2026, FERC issued a formal compliance review letter </w:t>
      </w:r>
      <w:proofErr w:type="gramStart"/>
      <w:r>
        <w:rPr>
          <w:color w:val="222222"/>
        </w:rPr>
        <w:t>referring</w:t>
      </w:r>
      <w:proofErr w:type="gramEnd"/>
      <w:r>
        <w:rPr>
          <w:color w:val="222222"/>
        </w:rPr>
        <w:t xml:space="preserve"> NWFEG's complaint to the Division of Hydropower Administration and Compliance (DHAC) for investigation. DHAC's review is currently underway.</w:t>
      </w:r>
    </w:p>
    <w:p w14:paraId="0EAF2CA6" w14:textId="77777777" w:rsidR="006F0391" w:rsidRDefault="006F0391">
      <w:pPr>
        <w:pBdr>
          <w:bottom w:val="single" w:sz="4" w:space="1" w:color="CCCCCC"/>
        </w:pBdr>
        <w:spacing w:before="160" w:after="160"/>
      </w:pPr>
    </w:p>
    <w:p w14:paraId="71508BF5" w14:textId="77777777" w:rsidR="006F0391" w:rsidRDefault="00844A7F">
      <w:pPr>
        <w:pStyle w:val="Heading2"/>
        <w:spacing w:before="280" w:after="80"/>
      </w:pPr>
      <w:r>
        <w:rPr>
          <w:b/>
          <w:bCs/>
          <w:color w:val="0D7A5F"/>
        </w:rPr>
        <w:t>Key Facts</w:t>
      </w:r>
    </w:p>
    <w:p w14:paraId="3A1623ED" w14:textId="77777777" w:rsidR="006F0391" w:rsidRDefault="00844A7F">
      <w:pPr>
        <w:pStyle w:val="ListParagraph"/>
        <w:numPr>
          <w:ilvl w:val="0"/>
          <w:numId w:val="2"/>
        </w:numPr>
        <w:spacing w:before="40" w:after="40"/>
      </w:pPr>
      <w:r>
        <w:rPr>
          <w:color w:val="222222"/>
        </w:rPr>
        <w:t>$13.4 million in annual Tacoma Power ratepayer expenditure on the Cowlitz fisheries program</w:t>
      </w:r>
    </w:p>
    <w:p w14:paraId="7E6D008D" w14:textId="77777777" w:rsidR="006F0391" w:rsidRDefault="00844A7F">
      <w:pPr>
        <w:pStyle w:val="ListParagraph"/>
        <w:numPr>
          <w:ilvl w:val="0"/>
          <w:numId w:val="2"/>
        </w:numPr>
        <w:spacing w:before="40" w:after="40"/>
      </w:pPr>
      <w:r>
        <w:rPr>
          <w:color w:val="222222"/>
        </w:rPr>
        <w:t>~$846 per wild adult returned to the river — measured against the NPCC's 2–6% smolt-to-adult return (SAR) rebuilding target</w:t>
      </w:r>
    </w:p>
    <w:p w14:paraId="36BB3009" w14:textId="77777777" w:rsidR="006F0391" w:rsidRDefault="00844A7F">
      <w:pPr>
        <w:pStyle w:val="ListParagraph"/>
        <w:numPr>
          <w:ilvl w:val="0"/>
          <w:numId w:val="2"/>
        </w:numPr>
        <w:spacing w:before="40" w:after="40"/>
      </w:pPr>
      <w:r>
        <w:rPr>
          <w:color w:val="222222"/>
        </w:rPr>
        <w:t>Five-year average SARs (2019–2023): Spring Chinook 0.24%, Fall Chinook below replacement, Coho 1.6%, Winter Steelhead 1.76%, Summer Steelhead 1.8% — all below NPCC's 2% replacement floor</w:t>
      </w:r>
    </w:p>
    <w:p w14:paraId="462EAB33" w14:textId="77777777" w:rsidR="006F0391" w:rsidRDefault="00844A7F">
      <w:pPr>
        <w:pStyle w:val="ListParagraph"/>
        <w:numPr>
          <w:ilvl w:val="0"/>
          <w:numId w:val="2"/>
        </w:numPr>
        <w:spacing w:before="40" w:after="40"/>
      </w:pPr>
      <w:r>
        <w:rPr>
          <w:color w:val="222222"/>
        </w:rPr>
        <w:t>5,623 adult Chinook returned to the hatchery separator through June 25, 2026 — the baseline against which recreational harvest claims must be evaluated</w:t>
      </w:r>
    </w:p>
    <w:p w14:paraId="076AACE1" w14:textId="77777777" w:rsidR="006F0391" w:rsidRDefault="00844A7F">
      <w:pPr>
        <w:pStyle w:val="ListParagraph"/>
        <w:numPr>
          <w:ilvl w:val="0"/>
          <w:numId w:val="2"/>
        </w:numPr>
        <w:spacing w:before="40" w:after="40"/>
      </w:pPr>
      <w:r>
        <w:rPr>
          <w:color w:val="222222"/>
        </w:rPr>
        <w:t>2020 spring Chinook season: fishery closed entirely due to broodstock shortage caused by program failure cascading from ocean survival collapse</w:t>
      </w:r>
    </w:p>
    <w:p w14:paraId="2276F60D" w14:textId="77777777" w:rsidR="006F0391" w:rsidRDefault="00844A7F">
      <w:pPr>
        <w:pStyle w:val="ListParagraph"/>
        <w:numPr>
          <w:ilvl w:val="0"/>
          <w:numId w:val="2"/>
        </w:numPr>
        <w:spacing w:before="40" w:after="40"/>
      </w:pPr>
      <w:r>
        <w:rPr>
          <w:color w:val="222222"/>
        </w:rPr>
        <w:t xml:space="preserve">Mayfield reservoir: documented parasite infection rates (C. </w:t>
      </w:r>
      <w:proofErr w:type="spellStart"/>
      <w:r>
        <w:rPr>
          <w:color w:val="222222"/>
        </w:rPr>
        <w:t>shasta</w:t>
      </w:r>
      <w:proofErr w:type="spellEnd"/>
      <w:r>
        <w:rPr>
          <w:color w:val="222222"/>
        </w:rPr>
        <w:t>, gill copepods, internal nematodes) 2–3× higher in fish post-reservoir than pre-reservoir, with mass mortality events in 2021, 2022, and 2023</w:t>
      </w:r>
    </w:p>
    <w:p w14:paraId="48CA210C" w14:textId="77777777" w:rsidR="006F0391" w:rsidRDefault="006F0391">
      <w:pPr>
        <w:pBdr>
          <w:bottom w:val="single" w:sz="4" w:space="1" w:color="CCCCCC"/>
        </w:pBdr>
        <w:spacing w:before="160" w:after="160"/>
      </w:pPr>
    </w:p>
    <w:p w14:paraId="0D62986A" w14:textId="77777777" w:rsidR="006F0391" w:rsidRDefault="00844A7F">
      <w:pPr>
        <w:pStyle w:val="Heading2"/>
        <w:spacing w:before="280" w:after="80"/>
      </w:pPr>
      <w:r>
        <w:rPr>
          <w:b/>
          <w:bCs/>
          <w:color w:val="0D7A5F"/>
        </w:rPr>
        <w:lastRenderedPageBreak/>
        <w:t>Formal Filings — FERC Docket P-2016</w:t>
      </w:r>
    </w:p>
    <w:p w14:paraId="1A7DBFD3" w14:textId="77777777" w:rsidR="006F0391" w:rsidRDefault="00844A7F">
      <w:pPr>
        <w:spacing w:before="60" w:after="80"/>
      </w:pPr>
      <w:r>
        <w:rPr>
          <w:color w:val="222222"/>
        </w:rPr>
        <w:t xml:space="preserve">Documents are listed in chronological filing order. FERC accession numbers allow direct retrieval through FERC's public </w:t>
      </w:r>
      <w:proofErr w:type="spellStart"/>
      <w:r>
        <w:rPr>
          <w:color w:val="222222"/>
        </w:rPr>
        <w:t>eLibrary</w:t>
      </w:r>
      <w:proofErr w:type="spellEnd"/>
      <w:r>
        <w:rPr>
          <w:color w:val="222222"/>
        </w:rPr>
        <w:t xml:space="preserve"> at elibrary.ferc.gov.</w:t>
      </w:r>
    </w:p>
    <w:p w14:paraId="6534C6A9" w14:textId="77777777" w:rsidR="006F0391" w:rsidRDefault="006F0391">
      <w:pPr>
        <w:spacing w:before="160" w:after="80"/>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1100"/>
        <w:gridCol w:w="7500"/>
      </w:tblGrid>
      <w:tr w:rsidR="006F0391" w14:paraId="50E151FC" w14:textId="77777777">
        <w:tblPrEx>
          <w:tblCellMar>
            <w:top w:w="0" w:type="dxa"/>
            <w:bottom w:w="0" w:type="dxa"/>
          </w:tblCellMar>
        </w:tblPrEx>
        <w:trPr>
          <w:tblHeader/>
        </w:trPr>
        <w:tc>
          <w:tcPr>
            <w:tcW w:w="500" w:type="dxa"/>
            <w:tcBorders>
              <w:top w:val="single" w:sz="1" w:space="0" w:color="CCCCCC"/>
              <w:left w:val="single" w:sz="1" w:space="0" w:color="CCCCCC"/>
              <w:bottom w:val="single" w:sz="1" w:space="0" w:color="CCCCCC"/>
              <w:right w:val="single" w:sz="1" w:space="0" w:color="CCCCCC"/>
            </w:tcBorders>
            <w:shd w:val="clear" w:color="auto" w:fill="0B2A4A"/>
            <w:tcMar>
              <w:top w:w="80" w:type="dxa"/>
              <w:left w:w="120" w:type="dxa"/>
              <w:bottom w:w="80" w:type="dxa"/>
              <w:right w:w="120" w:type="dxa"/>
            </w:tcMar>
          </w:tcPr>
          <w:p w14:paraId="34B62666" w14:textId="77777777" w:rsidR="006F0391" w:rsidRDefault="00844A7F">
            <w:r>
              <w:rPr>
                <w:b/>
                <w:bCs/>
                <w:color w:val="FFFFFF"/>
                <w:sz w:val="20"/>
                <w:szCs w:val="20"/>
              </w:rPr>
              <w:t>#</w:t>
            </w:r>
          </w:p>
        </w:tc>
        <w:tc>
          <w:tcPr>
            <w:tcW w:w="1100" w:type="dxa"/>
            <w:tcBorders>
              <w:top w:val="single" w:sz="1" w:space="0" w:color="CCCCCC"/>
              <w:left w:val="single" w:sz="1" w:space="0" w:color="CCCCCC"/>
              <w:bottom w:val="single" w:sz="1" w:space="0" w:color="CCCCCC"/>
              <w:right w:val="single" w:sz="1" w:space="0" w:color="CCCCCC"/>
            </w:tcBorders>
            <w:shd w:val="clear" w:color="auto" w:fill="0B2A4A"/>
            <w:tcMar>
              <w:top w:w="80" w:type="dxa"/>
              <w:left w:w="120" w:type="dxa"/>
              <w:bottom w:w="80" w:type="dxa"/>
              <w:right w:w="120" w:type="dxa"/>
            </w:tcMar>
          </w:tcPr>
          <w:p w14:paraId="4AEBEB33" w14:textId="77777777" w:rsidR="006F0391" w:rsidRDefault="00844A7F">
            <w:r>
              <w:rPr>
                <w:b/>
                <w:bCs/>
                <w:color w:val="FFFFFF"/>
                <w:sz w:val="20"/>
                <w:szCs w:val="20"/>
              </w:rPr>
              <w:t>Date Filed</w:t>
            </w:r>
          </w:p>
        </w:tc>
        <w:tc>
          <w:tcPr>
            <w:tcW w:w="7500" w:type="dxa"/>
            <w:tcBorders>
              <w:top w:val="single" w:sz="1" w:space="0" w:color="CCCCCC"/>
              <w:left w:val="single" w:sz="1" w:space="0" w:color="CCCCCC"/>
              <w:bottom w:val="single" w:sz="1" w:space="0" w:color="CCCCCC"/>
              <w:right w:val="single" w:sz="1" w:space="0" w:color="CCCCCC"/>
            </w:tcBorders>
            <w:shd w:val="clear" w:color="auto" w:fill="0B2A4A"/>
            <w:tcMar>
              <w:top w:w="80" w:type="dxa"/>
              <w:left w:w="160" w:type="dxa"/>
              <w:bottom w:w="80" w:type="dxa"/>
              <w:right w:w="160" w:type="dxa"/>
            </w:tcMar>
          </w:tcPr>
          <w:p w14:paraId="57AADCB1" w14:textId="77777777" w:rsidR="006F0391" w:rsidRDefault="00844A7F">
            <w:r>
              <w:rPr>
                <w:b/>
                <w:bCs/>
                <w:color w:val="FFFFFF"/>
                <w:sz w:val="20"/>
                <w:szCs w:val="20"/>
              </w:rPr>
              <w:t>Filing / Description</w:t>
            </w:r>
          </w:p>
        </w:tc>
      </w:tr>
      <w:tr w:rsidR="006F0391" w14:paraId="62039403"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6F1308A9" w14:textId="77777777" w:rsidR="006F0391" w:rsidRDefault="00844A7F">
            <w:r>
              <w:rPr>
                <w:b/>
                <w:bCs/>
                <w:color w:val="0B2A4A"/>
                <w:sz w:val="20"/>
                <w:szCs w:val="20"/>
              </w:rPr>
              <w:t>1</w:t>
            </w:r>
          </w:p>
        </w:tc>
        <w:tc>
          <w:tcPr>
            <w:tcW w:w="11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48402C9C" w14:textId="77777777" w:rsidR="006F0391" w:rsidRDefault="00844A7F">
            <w:r>
              <w:rPr>
                <w:color w:val="555555"/>
                <w:sz w:val="20"/>
                <w:szCs w:val="20"/>
              </w:rPr>
              <w:t>2024 (Initial)</w:t>
            </w:r>
          </w:p>
        </w:tc>
        <w:tc>
          <w:tcPr>
            <w:tcW w:w="75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60" w:type="dxa"/>
              <w:bottom w:w="80" w:type="dxa"/>
              <w:right w:w="160" w:type="dxa"/>
            </w:tcMar>
          </w:tcPr>
          <w:p w14:paraId="60FC4831" w14:textId="77777777" w:rsidR="006F0391" w:rsidRDefault="00844A7F">
            <w:pPr>
              <w:spacing w:after="30"/>
            </w:pPr>
            <w:r>
              <w:rPr>
                <w:b/>
                <w:bCs/>
                <w:color w:val="0B2A4A"/>
                <w:sz w:val="20"/>
                <w:szCs w:val="20"/>
              </w:rPr>
              <w:t>Primary Complaint — Non-Compliance with FERC License P-2016</w:t>
            </w:r>
          </w:p>
          <w:p w14:paraId="496A72BE" w14:textId="77777777" w:rsidR="006F0391" w:rsidRDefault="00844A7F">
            <w:pPr>
              <w:spacing w:after="30"/>
            </w:pPr>
            <w:r>
              <w:rPr>
                <w:i/>
                <w:iCs/>
                <w:color w:val="555555"/>
                <w:sz w:val="18"/>
                <w:szCs w:val="18"/>
              </w:rPr>
              <w:t>FERC Accession: [Accession No.]</w:t>
            </w:r>
          </w:p>
          <w:p w14:paraId="13C0AEEE" w14:textId="77777777" w:rsidR="006F0391" w:rsidRDefault="00844A7F">
            <w:r>
              <w:rPr>
                <w:color w:val="333333"/>
                <w:sz w:val="20"/>
                <w:szCs w:val="20"/>
              </w:rPr>
              <w:t>Initial formal complaint to FERC documenting systemic non-compliance with Tacoma Power's hydroelectric license obligations. Covers hatchery production failures, downstream fish passage mortality (55–65% actual vs. 75–95% required), and failure to achieve adult return objectives across spring Chinook, fall Chinook, coho, and steelhead. Initiates Docket P-2016 proceeding.</w:t>
            </w:r>
          </w:p>
        </w:tc>
      </w:tr>
      <w:tr w:rsidR="006F0391" w14:paraId="2B6AA4BB"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520FBB" w14:textId="77777777" w:rsidR="006F0391" w:rsidRDefault="00844A7F">
            <w:r>
              <w:rPr>
                <w:b/>
                <w:bCs/>
                <w:color w:val="0B2A4A"/>
                <w:sz w:val="20"/>
                <w:szCs w:val="20"/>
              </w:rPr>
              <w:t>2</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324E33" w14:textId="77777777" w:rsidR="006F0391" w:rsidRDefault="00844A7F">
            <w:r>
              <w:rPr>
                <w:color w:val="555555"/>
                <w:sz w:val="20"/>
                <w:szCs w:val="20"/>
              </w:rPr>
              <w:t>2024</w:t>
            </w:r>
          </w:p>
        </w:tc>
        <w:tc>
          <w:tcPr>
            <w:tcW w:w="7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160" w:type="dxa"/>
            </w:tcMar>
          </w:tcPr>
          <w:p w14:paraId="3DEEEF7E" w14:textId="77777777" w:rsidR="006F0391" w:rsidRDefault="00844A7F">
            <w:pPr>
              <w:spacing w:after="30"/>
            </w:pPr>
            <w:r>
              <w:rPr>
                <w:b/>
                <w:bCs/>
                <w:color w:val="0B2A4A"/>
                <w:sz w:val="20"/>
                <w:szCs w:val="20"/>
              </w:rPr>
              <w:t>Supplemental Complaint</w:t>
            </w:r>
          </w:p>
          <w:p w14:paraId="12667D15" w14:textId="77777777" w:rsidR="006F0391" w:rsidRDefault="00844A7F">
            <w:pPr>
              <w:spacing w:after="30"/>
            </w:pPr>
            <w:r>
              <w:rPr>
                <w:i/>
                <w:iCs/>
                <w:color w:val="555555"/>
                <w:sz w:val="18"/>
                <w:szCs w:val="18"/>
              </w:rPr>
              <w:t>FERC Accession: [Accession No.]</w:t>
            </w:r>
          </w:p>
          <w:p w14:paraId="00D94CF9" w14:textId="77777777" w:rsidR="006F0391" w:rsidRDefault="00844A7F">
            <w:r>
              <w:rPr>
                <w:color w:val="333333"/>
                <w:sz w:val="20"/>
                <w:szCs w:val="20"/>
              </w:rPr>
              <w:t>Supplements the Primary Complaint with additional documentation of non-compliance counts, expands the factual record on smolt-to-adult return rates across species, and identifies former Tacoma Power staff as potential witnesses with material knowledge of hatchery program decisions.</w:t>
            </w:r>
          </w:p>
        </w:tc>
      </w:tr>
      <w:tr w:rsidR="006F0391" w14:paraId="54FC738C"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353E5D39" w14:textId="77777777" w:rsidR="006F0391" w:rsidRDefault="00844A7F">
            <w:r>
              <w:rPr>
                <w:b/>
                <w:bCs/>
                <w:color w:val="0B2A4A"/>
                <w:sz w:val="20"/>
                <w:szCs w:val="20"/>
              </w:rPr>
              <w:t>3</w:t>
            </w:r>
          </w:p>
        </w:tc>
        <w:tc>
          <w:tcPr>
            <w:tcW w:w="11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348B1708" w14:textId="77777777" w:rsidR="006F0391" w:rsidRDefault="00844A7F">
            <w:r>
              <w:rPr>
                <w:color w:val="555555"/>
                <w:sz w:val="20"/>
                <w:szCs w:val="20"/>
              </w:rPr>
              <w:t>2024</w:t>
            </w:r>
          </w:p>
        </w:tc>
        <w:tc>
          <w:tcPr>
            <w:tcW w:w="75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60" w:type="dxa"/>
              <w:bottom w:w="80" w:type="dxa"/>
              <w:right w:w="160" w:type="dxa"/>
            </w:tcMar>
          </w:tcPr>
          <w:p w14:paraId="56FF5C64" w14:textId="77777777" w:rsidR="006F0391" w:rsidRDefault="00844A7F">
            <w:pPr>
              <w:spacing w:after="30"/>
            </w:pPr>
            <w:r>
              <w:rPr>
                <w:b/>
                <w:bCs/>
                <w:color w:val="0B2A4A"/>
                <w:sz w:val="20"/>
                <w:szCs w:val="20"/>
              </w:rPr>
              <w:t>FHMP Complaint — Fisheries and Hatchery Management Plan Non-Compliance</w:t>
            </w:r>
          </w:p>
          <w:p w14:paraId="1D885FA7" w14:textId="77777777" w:rsidR="006F0391" w:rsidRDefault="00844A7F">
            <w:pPr>
              <w:spacing w:after="30"/>
            </w:pPr>
            <w:r>
              <w:rPr>
                <w:i/>
                <w:iCs/>
                <w:color w:val="555555"/>
                <w:sz w:val="18"/>
                <w:szCs w:val="18"/>
              </w:rPr>
              <w:t>FERC Accession: [Accession No.]</w:t>
            </w:r>
          </w:p>
          <w:p w14:paraId="13CA5A72" w14:textId="77777777" w:rsidR="006F0391" w:rsidRDefault="00844A7F">
            <w:r>
              <w:rPr>
                <w:color w:val="333333"/>
                <w:sz w:val="20"/>
                <w:szCs w:val="20"/>
              </w:rPr>
              <w:t>Focused complaint on Tacoma Power's failure to implement adaptive management as required under the FHMP. Documents the absence of meaningful program corrections despite documented and sustained failure to meet NPCC 2–6% SAR benchmarks across multiple species and brood years.</w:t>
            </w:r>
          </w:p>
        </w:tc>
      </w:tr>
      <w:tr w:rsidR="006F0391" w14:paraId="0A28C952"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E99B2C" w14:textId="77777777" w:rsidR="006F0391" w:rsidRDefault="00844A7F">
            <w:r>
              <w:rPr>
                <w:b/>
                <w:bCs/>
                <w:color w:val="0B2A4A"/>
                <w:sz w:val="20"/>
                <w:szCs w:val="20"/>
              </w:rPr>
              <w:t>4–16</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F2D49A" w14:textId="77777777" w:rsidR="006F0391" w:rsidRDefault="00844A7F">
            <w:r>
              <w:rPr>
                <w:color w:val="555555"/>
                <w:sz w:val="20"/>
                <w:szCs w:val="20"/>
              </w:rPr>
              <w:t>2024–2025</w:t>
            </w:r>
          </w:p>
        </w:tc>
        <w:tc>
          <w:tcPr>
            <w:tcW w:w="7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160" w:type="dxa"/>
            </w:tcMar>
          </w:tcPr>
          <w:p w14:paraId="75D30E41" w14:textId="77777777" w:rsidR="006F0391" w:rsidRDefault="00844A7F">
            <w:pPr>
              <w:spacing w:after="30"/>
            </w:pPr>
            <w:r>
              <w:rPr>
                <w:b/>
                <w:bCs/>
                <w:color w:val="0B2A4A"/>
                <w:sz w:val="20"/>
                <w:szCs w:val="20"/>
              </w:rPr>
              <w:t>Amendments 1–13 to Primary Complaint</w:t>
            </w:r>
          </w:p>
          <w:p w14:paraId="3CD6CC8C" w14:textId="77777777" w:rsidR="006F0391" w:rsidRDefault="00844A7F">
            <w:pPr>
              <w:spacing w:after="30"/>
            </w:pPr>
            <w:r>
              <w:rPr>
                <w:i/>
                <w:iCs/>
                <w:color w:val="555555"/>
                <w:sz w:val="18"/>
                <w:szCs w:val="18"/>
              </w:rPr>
              <w:t>FERC Accession: [Various]</w:t>
            </w:r>
          </w:p>
          <w:p w14:paraId="1771F74B" w14:textId="77777777" w:rsidR="006F0391" w:rsidRDefault="00844A7F">
            <w:r>
              <w:rPr>
                <w:color w:val="333333"/>
                <w:sz w:val="20"/>
                <w:szCs w:val="20"/>
              </w:rPr>
              <w:t xml:space="preserve">Series of amendments adding specific counts and evidentiary support to the complaint record. Includes: Amendment 12 (attraction water — Article 415 non-compliance and Tacoma's own 2006 Article 413 filing describing hatchery drain water as 'scented'; WAC 220-660-200(5)(f)(iv) citation); Amendment 13 (recreational fishery collapse under §6.1.6, undisclosed attraction water design, FHMP monitoring gap); and Amendment 14 (Mayfield reservoir parasite and mortality — C. </w:t>
            </w:r>
            <w:proofErr w:type="spellStart"/>
            <w:r>
              <w:rPr>
                <w:color w:val="333333"/>
                <w:sz w:val="20"/>
                <w:szCs w:val="20"/>
              </w:rPr>
              <w:t>shasta</w:t>
            </w:r>
            <w:proofErr w:type="spellEnd"/>
            <w:r>
              <w:rPr>
                <w:color w:val="333333"/>
                <w:sz w:val="20"/>
                <w:szCs w:val="20"/>
              </w:rPr>
              <w:t xml:space="preserve"> infection, gill copepods, mass mortality events 2021–2023, targeting Tacoma's plan to spend millions on the existing Mayfield collection facility rather than a pre-reservoir alternative).</w:t>
            </w:r>
          </w:p>
        </w:tc>
      </w:tr>
      <w:tr w:rsidR="006F0391" w14:paraId="41739A53"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59C016CB" w14:textId="77777777" w:rsidR="006F0391" w:rsidRDefault="00844A7F">
            <w:r>
              <w:rPr>
                <w:b/>
                <w:bCs/>
                <w:color w:val="0B2A4A"/>
                <w:sz w:val="20"/>
                <w:szCs w:val="20"/>
              </w:rPr>
              <w:t>—</w:t>
            </w:r>
          </w:p>
        </w:tc>
        <w:tc>
          <w:tcPr>
            <w:tcW w:w="11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393758F1" w14:textId="77777777" w:rsidR="006F0391" w:rsidRDefault="00844A7F">
            <w:r>
              <w:rPr>
                <w:color w:val="555555"/>
                <w:sz w:val="20"/>
                <w:szCs w:val="20"/>
              </w:rPr>
              <w:t>June 11, 2026</w:t>
            </w:r>
          </w:p>
        </w:tc>
        <w:tc>
          <w:tcPr>
            <w:tcW w:w="75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60" w:type="dxa"/>
              <w:bottom w:w="80" w:type="dxa"/>
              <w:right w:w="160" w:type="dxa"/>
            </w:tcMar>
          </w:tcPr>
          <w:p w14:paraId="1B5BDE4F" w14:textId="77777777" w:rsidR="006F0391" w:rsidRDefault="00844A7F">
            <w:pPr>
              <w:spacing w:after="30"/>
            </w:pPr>
            <w:r>
              <w:rPr>
                <w:b/>
                <w:bCs/>
                <w:color w:val="0B2A4A"/>
                <w:sz w:val="20"/>
                <w:szCs w:val="20"/>
              </w:rPr>
              <w:t>FERC Compliance Review Letter — DHAC Referral</w:t>
            </w:r>
          </w:p>
          <w:p w14:paraId="2E6C3E7D" w14:textId="77777777" w:rsidR="006F0391" w:rsidRDefault="00844A7F">
            <w:pPr>
              <w:spacing w:after="30"/>
            </w:pPr>
            <w:r>
              <w:rPr>
                <w:i/>
                <w:iCs/>
                <w:color w:val="555555"/>
                <w:sz w:val="18"/>
                <w:szCs w:val="18"/>
              </w:rPr>
              <w:t>FERC Accession: [FERC Issued]</w:t>
            </w:r>
          </w:p>
          <w:p w14:paraId="09A60752" w14:textId="77777777" w:rsidR="006F0391" w:rsidRDefault="00844A7F">
            <w:r>
              <w:rPr>
                <w:color w:val="333333"/>
                <w:sz w:val="20"/>
                <w:szCs w:val="20"/>
              </w:rPr>
              <w:t xml:space="preserve">Federal Energy Regulatory Commission issues formal compliance review letter </w:t>
            </w:r>
            <w:proofErr w:type="gramStart"/>
            <w:r>
              <w:rPr>
                <w:color w:val="333333"/>
                <w:sz w:val="20"/>
                <w:szCs w:val="20"/>
              </w:rPr>
              <w:t>referring</w:t>
            </w:r>
            <w:proofErr w:type="gramEnd"/>
            <w:r>
              <w:rPr>
                <w:color w:val="333333"/>
                <w:sz w:val="20"/>
                <w:szCs w:val="20"/>
              </w:rPr>
              <w:t xml:space="preserve"> NWFEG's consolidated complaint to the Division of Hydropower Administration and Compliance (DHAC) for investigation. Marks formal commencement of the DHAC review process with an anticipated 3–</w:t>
            </w:r>
            <w:proofErr w:type="gramStart"/>
            <w:r>
              <w:rPr>
                <w:color w:val="333333"/>
                <w:sz w:val="20"/>
                <w:szCs w:val="20"/>
              </w:rPr>
              <w:t>6 month</w:t>
            </w:r>
            <w:proofErr w:type="gramEnd"/>
            <w:r>
              <w:rPr>
                <w:color w:val="333333"/>
                <w:sz w:val="20"/>
                <w:szCs w:val="20"/>
              </w:rPr>
              <w:t xml:space="preserve"> timeline.</w:t>
            </w:r>
          </w:p>
        </w:tc>
      </w:tr>
      <w:tr w:rsidR="006F0391" w14:paraId="48AF7C1C"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F42B36" w14:textId="77777777" w:rsidR="006F0391" w:rsidRDefault="00844A7F">
            <w:r>
              <w:rPr>
                <w:b/>
                <w:bCs/>
                <w:color w:val="0B2A4A"/>
                <w:sz w:val="20"/>
                <w:szCs w:val="20"/>
              </w:rPr>
              <w:t>—</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2A6DEA" w14:textId="77777777" w:rsidR="006F0391" w:rsidRDefault="00844A7F">
            <w:r>
              <w:rPr>
                <w:color w:val="555555"/>
                <w:sz w:val="20"/>
                <w:szCs w:val="20"/>
              </w:rPr>
              <w:t>June 18, 2026</w:t>
            </w:r>
          </w:p>
        </w:tc>
        <w:tc>
          <w:tcPr>
            <w:tcW w:w="7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60" w:type="dxa"/>
              <w:bottom w:w="80" w:type="dxa"/>
              <w:right w:w="160" w:type="dxa"/>
            </w:tcMar>
          </w:tcPr>
          <w:p w14:paraId="7AC785CB" w14:textId="77777777" w:rsidR="006F0391" w:rsidRDefault="00844A7F">
            <w:pPr>
              <w:spacing w:after="30"/>
            </w:pPr>
            <w:r>
              <w:rPr>
                <w:b/>
                <w:bCs/>
                <w:color w:val="0B2A4A"/>
                <w:sz w:val="20"/>
                <w:szCs w:val="20"/>
              </w:rPr>
              <w:t>Tacoma Power Response to Complaint</w:t>
            </w:r>
          </w:p>
          <w:p w14:paraId="5364AA24" w14:textId="77777777" w:rsidR="006F0391" w:rsidRDefault="00844A7F">
            <w:pPr>
              <w:spacing w:after="30"/>
            </w:pPr>
            <w:r>
              <w:rPr>
                <w:i/>
                <w:iCs/>
                <w:color w:val="555555"/>
                <w:sz w:val="18"/>
                <w:szCs w:val="18"/>
              </w:rPr>
              <w:t>FERC Accession: 20260622-5046</w:t>
            </w:r>
          </w:p>
          <w:p w14:paraId="57E00869" w14:textId="77777777" w:rsidR="006F0391" w:rsidRDefault="00844A7F">
            <w:r>
              <w:rPr>
                <w:color w:val="333333"/>
                <w:sz w:val="20"/>
                <w:szCs w:val="20"/>
              </w:rPr>
              <w:t>Categorical denial filed by Tacoma Power (Natural Resources Manager Matt Bleich). Response contains no count-by-count rebuttal of NWFEG's 34 documented non-compliance counts. Relies on generalized 'adaptive management framework' language without substantive engagement with the factual record or the performance data cited in NWFEG's filings.</w:t>
            </w:r>
          </w:p>
        </w:tc>
      </w:tr>
      <w:tr w:rsidR="006F0391" w14:paraId="1A3851FF"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0F392175" w14:textId="77777777" w:rsidR="006F0391" w:rsidRDefault="00844A7F">
            <w:r>
              <w:rPr>
                <w:b/>
                <w:bCs/>
                <w:color w:val="0B2A4A"/>
                <w:sz w:val="20"/>
                <w:szCs w:val="20"/>
              </w:rPr>
              <w:lastRenderedPageBreak/>
              <w:t>—</w:t>
            </w:r>
          </w:p>
        </w:tc>
        <w:tc>
          <w:tcPr>
            <w:tcW w:w="11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1DC52C78" w14:textId="77777777" w:rsidR="006F0391" w:rsidRDefault="00844A7F">
            <w:r>
              <w:rPr>
                <w:color w:val="555555"/>
                <w:sz w:val="20"/>
                <w:szCs w:val="20"/>
              </w:rPr>
              <w:t>July 23, 2026</w:t>
            </w:r>
          </w:p>
        </w:tc>
        <w:tc>
          <w:tcPr>
            <w:tcW w:w="7500" w:type="dxa"/>
            <w:tcBorders>
              <w:top w:val="single" w:sz="1" w:space="0" w:color="CCCCCC"/>
              <w:left w:val="single" w:sz="1" w:space="0" w:color="CCCCCC"/>
              <w:bottom w:val="single" w:sz="1" w:space="0" w:color="CCCCCC"/>
              <w:right w:val="single" w:sz="1" w:space="0" w:color="CCCCCC"/>
            </w:tcBorders>
            <w:shd w:val="clear" w:color="auto" w:fill="E8EEF4"/>
            <w:tcMar>
              <w:top w:w="80" w:type="dxa"/>
              <w:left w:w="160" w:type="dxa"/>
              <w:bottom w:w="80" w:type="dxa"/>
              <w:right w:w="160" w:type="dxa"/>
            </w:tcMar>
          </w:tcPr>
          <w:p w14:paraId="3047BC74" w14:textId="77777777" w:rsidR="006F0391" w:rsidRDefault="00844A7F">
            <w:pPr>
              <w:spacing w:after="30"/>
            </w:pPr>
            <w:r>
              <w:rPr>
                <w:b/>
                <w:bCs/>
                <w:color w:val="0B2A4A"/>
                <w:sz w:val="20"/>
                <w:szCs w:val="20"/>
              </w:rPr>
              <w:t>Reply to Tacoma Power's June 18 Response</w:t>
            </w:r>
          </w:p>
          <w:p w14:paraId="4B158535" w14:textId="77777777" w:rsidR="006F0391" w:rsidRDefault="00844A7F">
            <w:pPr>
              <w:spacing w:after="30"/>
            </w:pPr>
            <w:r>
              <w:rPr>
                <w:i/>
                <w:iCs/>
                <w:color w:val="555555"/>
                <w:sz w:val="18"/>
                <w:szCs w:val="18"/>
              </w:rPr>
              <w:t xml:space="preserve">FERC Accession: [Accession </w:t>
            </w:r>
            <w:proofErr w:type="gramStart"/>
            <w:r>
              <w:rPr>
                <w:i/>
                <w:iCs/>
                <w:color w:val="555555"/>
                <w:sz w:val="18"/>
                <w:szCs w:val="18"/>
              </w:rPr>
              <w:t>No. —</w:t>
            </w:r>
            <w:proofErr w:type="gramEnd"/>
            <w:r>
              <w:rPr>
                <w:i/>
                <w:iCs/>
                <w:color w:val="555555"/>
                <w:sz w:val="18"/>
                <w:szCs w:val="18"/>
              </w:rPr>
              <w:t xml:space="preserve"> filing pending]</w:t>
            </w:r>
          </w:p>
          <w:p w14:paraId="13A41EA5" w14:textId="77777777" w:rsidR="006F0391" w:rsidRDefault="00844A7F">
            <w:r>
              <w:rPr>
                <w:color w:val="333333"/>
                <w:sz w:val="20"/>
                <w:szCs w:val="20"/>
              </w:rPr>
              <w:t>NWFEG's formal reply to Tacoma Power's categorical denial. Addresses the specificity gap (Tacoma's failure to rebut individual counts), unquantified fish passage survival claims vs. Tacoma's own reported 55–65% passage survival data, the Mayfield juvenile bypass redesign admission, 25-year adaptive management record against actual SAR data, the Reed v. Georgia Power precedent response, and creel data reconciliation demonstrating recreational harvest cannot account for the gap between run returns and hatcher</w:t>
            </w:r>
            <w:r>
              <w:rPr>
                <w:color w:val="333333"/>
                <w:sz w:val="20"/>
                <w:szCs w:val="20"/>
              </w:rPr>
              <w:t>y separator escapement.</w:t>
            </w:r>
          </w:p>
        </w:tc>
      </w:tr>
    </w:tbl>
    <w:p w14:paraId="7DAE63FF" w14:textId="77777777" w:rsidR="006F0391" w:rsidRDefault="006F0391">
      <w:pPr>
        <w:spacing w:before="200" w:after="80"/>
      </w:pPr>
    </w:p>
    <w:p w14:paraId="263F2EF7" w14:textId="77777777" w:rsidR="006F0391" w:rsidRDefault="00844A7F">
      <w:pPr>
        <w:pStyle w:val="Heading2"/>
        <w:spacing w:before="280" w:after="80"/>
      </w:pPr>
      <w:r>
        <w:rPr>
          <w:b/>
          <w:bCs/>
          <w:color w:val="0D7A5F"/>
        </w:rPr>
        <w:t>DHAC Investigation — Current Status</w:t>
      </w:r>
    </w:p>
    <w:p w14:paraId="60F980FC" w14:textId="77777777" w:rsidR="006F0391" w:rsidRDefault="00844A7F">
      <w:pPr>
        <w:spacing w:before="60" w:after="80"/>
      </w:pPr>
      <w:r>
        <w:rPr>
          <w:color w:val="222222"/>
        </w:rPr>
        <w:t xml:space="preserve">The Division of Hydropower Administration and Compliance (DHAC) commenced its formal review of NWFEG's complaint following FERC's June 11, </w:t>
      </w:r>
      <w:proofErr w:type="gramStart"/>
      <w:r>
        <w:rPr>
          <w:color w:val="222222"/>
        </w:rPr>
        <w:t>2026</w:t>
      </w:r>
      <w:proofErr w:type="gramEnd"/>
      <w:r>
        <w:rPr>
          <w:color w:val="222222"/>
        </w:rPr>
        <w:t xml:space="preserve"> referral. A preliminary call with DHAC staff was held July 15, 2026, confirming the investigation is active and that site visits are a live option as the review proceeds.</w:t>
      </w:r>
    </w:p>
    <w:p w14:paraId="5ED639C8" w14:textId="77777777" w:rsidR="006F0391" w:rsidRDefault="00844A7F">
      <w:pPr>
        <w:spacing w:before="60" w:after="80"/>
      </w:pPr>
      <w:r>
        <w:rPr>
          <w:color w:val="222222"/>
        </w:rPr>
        <w:t>NWFEG is cooperating fully with DHAC's review and will supplement the record as additional data becomes available, including the results of Washington Ecology's scheduled hatchery inspection and ongoing creel and separator data for the 2026 season.</w:t>
      </w:r>
    </w:p>
    <w:p w14:paraId="5B739F9F" w14:textId="77777777" w:rsidR="006F0391" w:rsidRDefault="006F0391">
      <w:pPr>
        <w:pBdr>
          <w:bottom w:val="single" w:sz="4" w:space="1" w:color="CCCCCC"/>
        </w:pBdr>
        <w:spacing w:before="160" w:after="160"/>
      </w:pPr>
    </w:p>
    <w:p w14:paraId="7DBF7B2A" w14:textId="77777777" w:rsidR="006F0391" w:rsidRDefault="00844A7F">
      <w:pPr>
        <w:pStyle w:val="Heading2"/>
        <w:spacing w:before="280" w:after="80"/>
      </w:pPr>
      <w:r>
        <w:rPr>
          <w:b/>
          <w:bCs/>
          <w:color w:val="0D7A5F"/>
        </w:rPr>
        <w:t>Scientific Basis for NWFEG's Position</w:t>
      </w:r>
    </w:p>
    <w:p w14:paraId="35E4E362" w14:textId="77777777" w:rsidR="006F0391" w:rsidRDefault="00844A7F">
      <w:pPr>
        <w:pStyle w:val="Heading3"/>
        <w:spacing w:before="200" w:after="60"/>
      </w:pPr>
      <w:r>
        <w:rPr>
          <w:b/>
          <w:bCs/>
          <w:color w:val="0B2A4A"/>
          <w:sz w:val="22"/>
          <w:szCs w:val="22"/>
        </w:rPr>
        <w:t>Smolt-to-Adult Return Rates</w:t>
      </w:r>
    </w:p>
    <w:p w14:paraId="28F3FA73" w14:textId="77777777" w:rsidR="006F0391" w:rsidRDefault="00844A7F">
      <w:pPr>
        <w:spacing w:before="60" w:after="80"/>
      </w:pPr>
      <w:r>
        <w:rPr>
          <w:color w:val="222222"/>
        </w:rPr>
        <w:t>The Northwest Power and Conservation Council (NPCC) has established a 2–6% smolt-to-adult return rate as the minimum rebuilding target for recovered Columbia Basin salmon populations (</w:t>
      </w:r>
      <w:proofErr w:type="spellStart"/>
      <w:r>
        <w:rPr>
          <w:color w:val="222222"/>
        </w:rPr>
        <w:t>Marmorek</w:t>
      </w:r>
      <w:proofErr w:type="spellEnd"/>
      <w:r>
        <w:rPr>
          <w:color w:val="222222"/>
        </w:rPr>
        <w:t xml:space="preserve"> et al. 1998; McCann et al. 2018). Cowlitz River hatchery programs have consistently failed to meet the 2% replacement floor:</w:t>
      </w:r>
    </w:p>
    <w:p w14:paraId="32DBCB12" w14:textId="77777777" w:rsidR="006F0391" w:rsidRDefault="00844A7F">
      <w:pPr>
        <w:pStyle w:val="ListParagraph"/>
        <w:numPr>
          <w:ilvl w:val="0"/>
          <w:numId w:val="2"/>
        </w:numPr>
        <w:spacing w:before="40" w:after="40"/>
      </w:pPr>
      <w:r>
        <w:rPr>
          <w:color w:val="222222"/>
        </w:rPr>
        <w:t>Spring Chinook: 0.24% five-year average (2019–2023)</w:t>
      </w:r>
    </w:p>
    <w:p w14:paraId="350A3B58" w14:textId="77777777" w:rsidR="006F0391" w:rsidRDefault="00844A7F">
      <w:pPr>
        <w:pStyle w:val="ListParagraph"/>
        <w:numPr>
          <w:ilvl w:val="0"/>
          <w:numId w:val="2"/>
        </w:numPr>
        <w:spacing w:before="40" w:after="40"/>
      </w:pPr>
      <w:r>
        <w:rPr>
          <w:color w:val="222222"/>
        </w:rPr>
        <w:t>Coho: 1.6% five-year average (2019–2023)</w:t>
      </w:r>
    </w:p>
    <w:p w14:paraId="64937595" w14:textId="77777777" w:rsidR="006F0391" w:rsidRDefault="00844A7F">
      <w:pPr>
        <w:pStyle w:val="ListParagraph"/>
        <w:numPr>
          <w:ilvl w:val="0"/>
          <w:numId w:val="2"/>
        </w:numPr>
        <w:spacing w:before="40" w:after="40"/>
      </w:pPr>
      <w:r>
        <w:rPr>
          <w:color w:val="222222"/>
        </w:rPr>
        <w:t>Winter Steelhead: 1.76% five-year average (2019–2023)</w:t>
      </w:r>
    </w:p>
    <w:p w14:paraId="0812D470" w14:textId="77777777" w:rsidR="006F0391" w:rsidRDefault="00844A7F">
      <w:pPr>
        <w:pStyle w:val="ListParagraph"/>
        <w:numPr>
          <w:ilvl w:val="0"/>
          <w:numId w:val="2"/>
        </w:numPr>
        <w:spacing w:before="40" w:after="40"/>
      </w:pPr>
      <w:r>
        <w:rPr>
          <w:color w:val="222222"/>
        </w:rPr>
        <w:t>Summer Steelhead: 1.8% five-year average (2019–2023)</w:t>
      </w:r>
    </w:p>
    <w:p w14:paraId="556C711A" w14:textId="77777777" w:rsidR="006F0391" w:rsidRDefault="00844A7F">
      <w:pPr>
        <w:pStyle w:val="Heading3"/>
        <w:spacing w:before="200" w:after="60"/>
      </w:pPr>
      <w:r>
        <w:rPr>
          <w:b/>
          <w:bCs/>
          <w:color w:val="0B2A4A"/>
          <w:sz w:val="22"/>
          <w:szCs w:val="22"/>
        </w:rPr>
        <w:t>Downstream Fish Passage</w:t>
      </w:r>
    </w:p>
    <w:p w14:paraId="3C3BD6ED" w14:textId="77777777" w:rsidR="006F0391" w:rsidRDefault="00844A7F">
      <w:pPr>
        <w:spacing w:before="60" w:after="80"/>
      </w:pPr>
      <w:r>
        <w:rPr>
          <w:color w:val="222222"/>
        </w:rPr>
        <w:t>Tacoma Power's own data reports downstream smolt passage survival at Mayfield Dam at 55–65%. The FERC license requires 75–95% survival. The 2014/2015 Mayfield Downstream Survival Study (Steig et al.) documented catastrophic Chinook smolt bypass survival of 26.27%, compared to steelhead (96.97%) and coho (78.51%). The self-reinforcing nature of this failure — poor passage survival prevents upstream volitional passage goals from ever being met — is documented in NWFEG's filings.</w:t>
      </w:r>
    </w:p>
    <w:p w14:paraId="5EB10BD3" w14:textId="77777777" w:rsidR="006F0391" w:rsidRDefault="00844A7F">
      <w:pPr>
        <w:pStyle w:val="Heading3"/>
        <w:spacing w:before="200" w:after="60"/>
      </w:pPr>
      <w:r>
        <w:rPr>
          <w:b/>
          <w:bCs/>
          <w:color w:val="0B2A4A"/>
          <w:sz w:val="22"/>
          <w:szCs w:val="22"/>
        </w:rPr>
        <w:t>Mayfield Reservoir Parasite Loading</w:t>
      </w:r>
    </w:p>
    <w:p w14:paraId="491F93AA" w14:textId="77777777" w:rsidR="006F0391" w:rsidRDefault="00844A7F">
      <w:pPr>
        <w:spacing w:before="60" w:after="80"/>
      </w:pPr>
      <w:r>
        <w:rPr>
          <w:color w:val="222222"/>
        </w:rPr>
        <w:t xml:space="preserve">Tacoma Power's own Article 8 Fish Disease Management Plan status reports document a severe parasite gradient across the Mayfield reservoir. In 2023: C. </w:t>
      </w:r>
      <w:proofErr w:type="spellStart"/>
      <w:r>
        <w:rPr>
          <w:color w:val="222222"/>
        </w:rPr>
        <w:t>shasta</w:t>
      </w:r>
      <w:proofErr w:type="spellEnd"/>
      <w:r>
        <w:rPr>
          <w:color w:val="222222"/>
        </w:rPr>
        <w:t xml:space="preserve"> infection 27.3% at Cowlitz Falls (upstream/pre-reservoir) vs. 56.8% at Mayfield Counting House (post-reservoir); gill copepod (Salmincola sp.) prevalence 78.6–100% at Mayfield vs. approximately zero at Cowlitz Falls; internal nematodes found exclusively at Mayfield. Mass mortality events of approximately 300 dead Chinook were documented at the Mayfield trap in October 2021, recurring in 2022 and April 2023.</w:t>
      </w:r>
    </w:p>
    <w:p w14:paraId="5B70BDD1" w14:textId="77777777" w:rsidR="006F0391" w:rsidRDefault="00844A7F">
      <w:pPr>
        <w:pStyle w:val="Heading3"/>
        <w:spacing w:before="200" w:after="60"/>
      </w:pPr>
      <w:r>
        <w:rPr>
          <w:b/>
          <w:bCs/>
          <w:color w:val="0B2A4A"/>
          <w:sz w:val="22"/>
          <w:szCs w:val="22"/>
        </w:rPr>
        <w:lastRenderedPageBreak/>
        <w:t>Attraction Water</w:t>
      </w:r>
    </w:p>
    <w:p w14:paraId="0F2EEBB2" w14:textId="77777777" w:rsidR="006F0391" w:rsidRDefault="00844A7F">
      <w:pPr>
        <w:spacing w:before="60" w:after="80"/>
      </w:pPr>
      <w:r>
        <w:rPr>
          <w:color w:val="222222"/>
        </w:rPr>
        <w:t>Tacoma Power's own 2006 Article 413 FERC filing describes hatchery drain water introduced into the Barrier Dam ladder as '</w:t>
      </w:r>
      <w:proofErr w:type="gramStart"/>
      <w:r>
        <w:rPr>
          <w:color w:val="222222"/>
        </w:rPr>
        <w:t>scented' —</w:t>
      </w:r>
      <w:proofErr w:type="gramEnd"/>
      <w:r>
        <w:rPr>
          <w:color w:val="222222"/>
        </w:rPr>
        <w:t xml:space="preserve"> an evidentiary admission that scented water has been used as an attraction mechanism without disclosure of its role in the license compliance framework. WAC 220-660-200(5)(f)(iv) establishes the applicable regulatory standard. NWFEG has formally inquired </w:t>
      </w:r>
      <w:proofErr w:type="gramStart"/>
      <w:r>
        <w:rPr>
          <w:color w:val="222222"/>
        </w:rPr>
        <w:t>to</w:t>
      </w:r>
      <w:proofErr w:type="gramEnd"/>
      <w:r>
        <w:rPr>
          <w:color w:val="222222"/>
        </w:rPr>
        <w:t xml:space="preserve"> Washington Ecology regarding hatchery effluent and attraction water practices.</w:t>
      </w:r>
    </w:p>
    <w:p w14:paraId="1614CD4E" w14:textId="77777777" w:rsidR="006F0391" w:rsidRDefault="006F0391">
      <w:pPr>
        <w:pBdr>
          <w:bottom w:val="single" w:sz="4" w:space="1" w:color="CCCCCC"/>
        </w:pBdr>
        <w:spacing w:before="160" w:after="160"/>
      </w:pPr>
    </w:p>
    <w:p w14:paraId="3714E14F" w14:textId="77777777" w:rsidR="006F0391" w:rsidRDefault="00844A7F">
      <w:pPr>
        <w:pStyle w:val="Heading2"/>
        <w:spacing w:before="280" w:after="80"/>
      </w:pPr>
      <w:r>
        <w:rPr>
          <w:b/>
          <w:bCs/>
          <w:color w:val="0D7A5F"/>
        </w:rPr>
        <w:t>How You Can Help</w:t>
      </w:r>
    </w:p>
    <w:p w14:paraId="3714617A" w14:textId="77777777" w:rsidR="006F0391" w:rsidRDefault="00844A7F">
      <w:pPr>
        <w:spacing w:before="60" w:after="80"/>
      </w:pPr>
      <w:r>
        <w:rPr>
          <w:color w:val="222222"/>
        </w:rPr>
        <w:t xml:space="preserve">FERC's proceeding is a public process. Public comments and expressions of concern from constituents, organizations, and agencies with interests in Cowlitz River fisheries are part of the record DHAC considers. If you wish to submit a comment to FERC on Docket P-2016, it can be filed through FERC's </w:t>
      </w:r>
      <w:proofErr w:type="spellStart"/>
      <w:r>
        <w:rPr>
          <w:color w:val="222222"/>
        </w:rPr>
        <w:t>eLibrary</w:t>
      </w:r>
      <w:proofErr w:type="spellEnd"/>
      <w:r>
        <w:rPr>
          <w:color w:val="222222"/>
        </w:rPr>
        <w:t xml:space="preserve"> at elibrary.ferc.gov.</w:t>
      </w:r>
    </w:p>
    <w:p w14:paraId="23EC4DA1" w14:textId="77777777" w:rsidR="006F0391" w:rsidRDefault="00844A7F">
      <w:pPr>
        <w:spacing w:before="60" w:after="80"/>
      </w:pPr>
      <w:r>
        <w:rPr>
          <w:color w:val="222222"/>
        </w:rPr>
        <w:t>Organizations, agencies, or tribal governments wishing to engage with NWFEG on the Cowlitz proceeding are encouraged to contact us directly.</w:t>
      </w:r>
    </w:p>
    <w:p w14:paraId="3B6AD7D4" w14:textId="77777777" w:rsidR="006F0391" w:rsidRDefault="00844A7F">
      <w:pPr>
        <w:spacing w:before="160" w:after="60"/>
      </w:pPr>
      <w:r>
        <w:rPr>
          <w:b/>
          <w:bCs/>
          <w:color w:val="0B2A4A"/>
        </w:rPr>
        <w:t>Larry Pryor, Chairman</w:t>
      </w:r>
    </w:p>
    <w:p w14:paraId="0CE6BEA7" w14:textId="77777777" w:rsidR="006F0391" w:rsidRDefault="00844A7F">
      <w:pPr>
        <w:spacing w:after="40"/>
      </w:pPr>
      <w:r>
        <w:rPr>
          <w:color w:val="333333"/>
        </w:rPr>
        <w:t>Northwest Fisheries Enhancement Group (NWFEG)</w:t>
      </w:r>
    </w:p>
    <w:p w14:paraId="0B2CCFF5" w14:textId="77777777" w:rsidR="006F0391" w:rsidRDefault="00844A7F">
      <w:pPr>
        <w:spacing w:after="40"/>
      </w:pPr>
      <w:r>
        <w:rPr>
          <w:color w:val="333333"/>
        </w:rPr>
        <w:t>6 So 2nd Street, Suite 809, Yakima, WA 98901</w:t>
      </w:r>
    </w:p>
    <w:p w14:paraId="5132A1D3" w14:textId="77777777" w:rsidR="006F0391" w:rsidRDefault="00844A7F">
      <w:pPr>
        <w:spacing w:after="40"/>
      </w:pPr>
      <w:proofErr w:type="gramStart"/>
      <w:r>
        <w:rPr>
          <w:color w:val="0D7A5F"/>
        </w:rPr>
        <w:t>lpryor@nwfe.org  |</w:t>
      </w:r>
      <w:proofErr w:type="gramEnd"/>
      <w:r>
        <w:rPr>
          <w:color w:val="0D7A5F"/>
        </w:rPr>
        <w:t xml:space="preserve">  509-292-6410</w:t>
      </w:r>
    </w:p>
    <w:p w14:paraId="1E7701DB" w14:textId="77777777" w:rsidR="006F0391" w:rsidRDefault="006F0391">
      <w:pPr>
        <w:pBdr>
          <w:bottom w:val="single" w:sz="4" w:space="1" w:color="CCCCCC"/>
        </w:pBdr>
        <w:spacing w:before="160" w:after="160"/>
      </w:pPr>
    </w:p>
    <w:p w14:paraId="568EFF1B" w14:textId="77777777" w:rsidR="006F0391" w:rsidRDefault="00844A7F">
      <w:pPr>
        <w:spacing w:before="80"/>
      </w:pPr>
      <w:r>
        <w:rPr>
          <w:i/>
          <w:iCs/>
          <w:color w:val="555555"/>
          <w:sz w:val="18"/>
          <w:szCs w:val="18"/>
        </w:rPr>
        <w:t xml:space="preserve">All FERC filings are public records available through FERC's </w:t>
      </w:r>
      <w:proofErr w:type="spellStart"/>
      <w:r>
        <w:rPr>
          <w:i/>
          <w:iCs/>
          <w:color w:val="555555"/>
          <w:sz w:val="18"/>
          <w:szCs w:val="18"/>
        </w:rPr>
        <w:t>eLibrary</w:t>
      </w:r>
      <w:proofErr w:type="spellEnd"/>
      <w:r>
        <w:rPr>
          <w:i/>
          <w:iCs/>
          <w:color w:val="555555"/>
          <w:sz w:val="18"/>
          <w:szCs w:val="18"/>
        </w:rPr>
        <w:t xml:space="preserve"> system at elibrary.ferc.gov under Docket No. P-2016. This page will be updated as the proceeding develops.</w:t>
      </w:r>
    </w:p>
    <w:sectPr w:rsidR="006F0391">
      <w:pgSz w:w="12240" w:h="15840"/>
      <w:pgMar w:top="1080" w:right="1080" w:bottom="144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863"/>
    <w:multiLevelType w:val="hybridMultilevel"/>
    <w:tmpl w:val="351AAD44"/>
    <w:lvl w:ilvl="0" w:tplc="7F205ACA">
      <w:start w:val="1"/>
      <w:numFmt w:val="bullet"/>
      <w:lvlText w:val="•"/>
      <w:lvlJc w:val="left"/>
      <w:pPr>
        <w:ind w:left="560" w:hanging="280"/>
      </w:pPr>
    </w:lvl>
    <w:lvl w:ilvl="1" w:tplc="937C665E">
      <w:numFmt w:val="decimal"/>
      <w:lvlText w:val=""/>
      <w:lvlJc w:val="left"/>
    </w:lvl>
    <w:lvl w:ilvl="2" w:tplc="915A9EBE">
      <w:numFmt w:val="decimal"/>
      <w:lvlText w:val=""/>
      <w:lvlJc w:val="left"/>
    </w:lvl>
    <w:lvl w:ilvl="3" w:tplc="7EC0F322">
      <w:numFmt w:val="decimal"/>
      <w:lvlText w:val=""/>
      <w:lvlJc w:val="left"/>
    </w:lvl>
    <w:lvl w:ilvl="4" w:tplc="029670AE">
      <w:numFmt w:val="decimal"/>
      <w:lvlText w:val=""/>
      <w:lvlJc w:val="left"/>
    </w:lvl>
    <w:lvl w:ilvl="5" w:tplc="534AC3A4">
      <w:numFmt w:val="decimal"/>
      <w:lvlText w:val=""/>
      <w:lvlJc w:val="left"/>
    </w:lvl>
    <w:lvl w:ilvl="6" w:tplc="FCEEFF6A">
      <w:numFmt w:val="decimal"/>
      <w:lvlText w:val=""/>
      <w:lvlJc w:val="left"/>
    </w:lvl>
    <w:lvl w:ilvl="7" w:tplc="2F30BC0A">
      <w:numFmt w:val="decimal"/>
      <w:lvlText w:val=""/>
      <w:lvlJc w:val="left"/>
    </w:lvl>
    <w:lvl w:ilvl="8" w:tplc="62C6B096">
      <w:numFmt w:val="decimal"/>
      <w:lvlText w:val=""/>
      <w:lvlJc w:val="left"/>
    </w:lvl>
  </w:abstractNum>
  <w:abstractNum w:abstractNumId="1" w15:restartNumberingAfterBreak="0">
    <w:nsid w:val="3A091A4B"/>
    <w:multiLevelType w:val="hybridMultilevel"/>
    <w:tmpl w:val="5802CA48"/>
    <w:lvl w:ilvl="0" w:tplc="B284E630">
      <w:start w:val="1"/>
      <w:numFmt w:val="bullet"/>
      <w:lvlText w:val="●"/>
      <w:lvlJc w:val="left"/>
      <w:pPr>
        <w:ind w:left="720" w:hanging="360"/>
      </w:pPr>
    </w:lvl>
    <w:lvl w:ilvl="1" w:tplc="6D9C8B86">
      <w:start w:val="1"/>
      <w:numFmt w:val="bullet"/>
      <w:lvlText w:val="○"/>
      <w:lvlJc w:val="left"/>
      <w:pPr>
        <w:ind w:left="1440" w:hanging="360"/>
      </w:pPr>
    </w:lvl>
    <w:lvl w:ilvl="2" w:tplc="14BE2032">
      <w:start w:val="1"/>
      <w:numFmt w:val="bullet"/>
      <w:lvlText w:val="■"/>
      <w:lvlJc w:val="left"/>
      <w:pPr>
        <w:ind w:left="2160" w:hanging="360"/>
      </w:pPr>
    </w:lvl>
    <w:lvl w:ilvl="3" w:tplc="A4BAF920">
      <w:start w:val="1"/>
      <w:numFmt w:val="bullet"/>
      <w:lvlText w:val="●"/>
      <w:lvlJc w:val="left"/>
      <w:pPr>
        <w:ind w:left="2880" w:hanging="360"/>
      </w:pPr>
    </w:lvl>
    <w:lvl w:ilvl="4" w:tplc="0A6294A8">
      <w:start w:val="1"/>
      <w:numFmt w:val="bullet"/>
      <w:lvlText w:val="○"/>
      <w:lvlJc w:val="left"/>
      <w:pPr>
        <w:ind w:left="3600" w:hanging="360"/>
      </w:pPr>
    </w:lvl>
    <w:lvl w:ilvl="5" w:tplc="6B0418D8">
      <w:start w:val="1"/>
      <w:numFmt w:val="bullet"/>
      <w:lvlText w:val="■"/>
      <w:lvlJc w:val="left"/>
      <w:pPr>
        <w:ind w:left="4320" w:hanging="360"/>
      </w:pPr>
    </w:lvl>
    <w:lvl w:ilvl="6" w:tplc="803C0340">
      <w:start w:val="1"/>
      <w:numFmt w:val="bullet"/>
      <w:lvlText w:val="●"/>
      <w:lvlJc w:val="left"/>
      <w:pPr>
        <w:ind w:left="5040" w:hanging="360"/>
      </w:pPr>
    </w:lvl>
    <w:lvl w:ilvl="7" w:tplc="F35CD3BC">
      <w:start w:val="1"/>
      <w:numFmt w:val="bullet"/>
      <w:lvlText w:val="●"/>
      <w:lvlJc w:val="left"/>
      <w:pPr>
        <w:ind w:left="5760" w:hanging="360"/>
      </w:pPr>
    </w:lvl>
    <w:lvl w:ilvl="8" w:tplc="504CF26E">
      <w:start w:val="1"/>
      <w:numFmt w:val="bullet"/>
      <w:lvlText w:val="●"/>
      <w:lvlJc w:val="left"/>
      <w:pPr>
        <w:ind w:left="6480" w:hanging="360"/>
      </w:pPr>
    </w:lvl>
  </w:abstractNum>
  <w:num w:numId="1" w16cid:durableId="1947811273">
    <w:abstractNumId w:val="1"/>
    <w:lvlOverride w:ilvl="0">
      <w:startOverride w:val="1"/>
    </w:lvlOverride>
  </w:num>
  <w:num w:numId="2" w16cid:durableId="20788169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391"/>
    <w:rsid w:val="00345C44"/>
    <w:rsid w:val="004374D6"/>
    <w:rsid w:val="006F0391"/>
    <w:rsid w:val="00844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2E237"/>
  <w15:docId w15:val="{1CB489E3-556A-42FC-AEEC-87017FAFD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1529</Words>
  <Characters>8717</Characters>
  <Application>Microsoft Office Word</Application>
  <DocSecurity>0</DocSecurity>
  <Lines>72</Lines>
  <Paragraphs>20</Paragraphs>
  <ScaleCrop>false</ScaleCrop>
  <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Lawrence Pryor</cp:lastModifiedBy>
  <cp:revision>2</cp:revision>
  <dcterms:created xsi:type="dcterms:W3CDTF">2026-07-26T01:25:00Z</dcterms:created>
  <dcterms:modified xsi:type="dcterms:W3CDTF">2026-07-26T01:25:00Z</dcterms:modified>
</cp:coreProperties>
</file>